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1F" w:rsidRPr="00D04697" w:rsidRDefault="001E071F" w:rsidP="001E07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 xml:space="preserve">Лекция 10.  Бренд территории как сумма корпоративного </w:t>
      </w:r>
      <w:proofErr w:type="spellStart"/>
      <w:r w:rsidRPr="00D04697">
        <w:rPr>
          <w:rFonts w:ascii="Times New Roman" w:hAnsi="Times New Roman" w:cs="Times New Roman"/>
          <w:b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b/>
          <w:sz w:val="28"/>
          <w:szCs w:val="28"/>
        </w:rPr>
        <w:t xml:space="preserve"> и имиджа территории. </w:t>
      </w:r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После определения текущего состояния региона необходимо выбрать цель территориального маркетинга и определить конкретные инструменты её достижения. Одним из инструментов реализации стратегии регионального маркетинга выступает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территории - наиболее широко применяемый в данный момент инструмент маркетинга, который заключается в формировании определённого образа региона. То есть, бренд представляет собой стереотип восприятия рассматриваемой территории. Исследователи выделяют такие виды бренда, как исторический, туристический, культурный, но в целях формирования экономической привлекательности интерес представляет собой экономический бренд.</w:t>
      </w:r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бренд включает в себя образ территории с точки зрения её инвестиционного, финансового и производственного потенциала. При проведении экономического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брендирования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выявить особенности региона с точки зрения его экономических возможностей, или его конкурентные преимущества. Такими особенностями могут быть: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приграничное положение, как возможность торгово-экономического сотрудничества с другими странами и развития транспортно-логистического бизнеса (может использоваться, например, Псковской и Ростовской областями, Хабаровским краем);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особые характеристики производственных фондов региона (например, особые свойства почв, наличие пустующих производственных площадей и другое) как возможность организации особых видов производств (например, Ставропольский край - по наличию плодородных почв);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наличие особых экономических зон как возможности организации бизнеса на особых условиях (например, Калужская и Липецкая области, где имеются особые экономические зоны промышленного типа, а также Ульяновская область (логистический тип особой экономической зоны) и Томская область (технологический тип особой экономической зоны);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высокий процент экономически активного населения как обеспечение бизнес-проектов рабочей силой и возможность развития предпринимательства и образования в регионе (может быть использован для Пензенской области);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наличие особых природных ресурсов, что обеспечивает возможность организации специализированных производств (например, для регионов Уральского федерального округа);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исконная, историческая экономическая специализация региона, позволяющая закрепить за территорией определённую производственную специфику (Ивановская и Тульская области - как центры легкого и машиностроительного производства соответственно);</w:t>
      </w:r>
    </w:p>
    <w:p w:rsidR="001E071F" w:rsidRPr="00D04697" w:rsidRDefault="001E071F" w:rsidP="001E07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- центральное, ведущее или особое положение в округе или стране, что формирует больше возможностей для привлечения инвесторов, рабочей силы, туристов (актуально для Московской и Ленинградской областей, а также для Калининградской области) и др.</w:t>
      </w:r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выявления конкурентных преимуществ региона как основы бренда происходит формирование цели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брендирования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, а также его основного тезиса. В качестве тезиса выступает короткий лозунг, выражающий цель и сущность проведения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. Затем вырабатываются конкретные мероприятия, позволяющие продвинуть и закрепить бренд за данной </w:t>
      </w:r>
      <w:proofErr w:type="gramStart"/>
      <w:r w:rsidRPr="00D04697">
        <w:rPr>
          <w:rFonts w:ascii="Times New Roman" w:eastAsia="Times New Roman" w:hAnsi="Times New Roman" w:cs="Times New Roman"/>
          <w:sz w:val="28"/>
          <w:szCs w:val="28"/>
        </w:rPr>
        <w:t>территорией .</w:t>
      </w:r>
      <w:proofErr w:type="gramEnd"/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формирования экономической привлекательности территории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высокоэффективным инструментом, что объясняет его широкое </w:t>
      </w:r>
      <w:proofErr w:type="gramStart"/>
      <w:r w:rsidRPr="00D04697">
        <w:rPr>
          <w:rFonts w:ascii="Times New Roman" w:eastAsia="Times New Roman" w:hAnsi="Times New Roman" w:cs="Times New Roman"/>
          <w:sz w:val="28"/>
          <w:szCs w:val="28"/>
        </w:rPr>
        <w:t>применение  регионами</w:t>
      </w:r>
      <w:proofErr w:type="gram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1E071F" w:rsidRPr="00D04697" w:rsidRDefault="001E071F" w:rsidP="001E071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Брэндинг позволяет определить место региона среди других субъектов страны и выделить его на фоне остальных. Эффективность брэндинга обусловлена его относительной простотой. Так, особое качество найдется практически у каждого региона, а формирование тезиса и его закрепление и продвижение - уже дело конкретных маркетинговых мероприятий.</w:t>
      </w:r>
    </w:p>
    <w:p w:rsidR="00AC56C0" w:rsidRPr="004107D9" w:rsidRDefault="00AC56C0" w:rsidP="00D46316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1E071F"/>
    <w:rsid w:val="003B35DF"/>
    <w:rsid w:val="004107D9"/>
    <w:rsid w:val="005E605E"/>
    <w:rsid w:val="00AC56C0"/>
    <w:rsid w:val="00D46316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2020-03-07T06:15:00Z</dcterms:created>
  <dcterms:modified xsi:type="dcterms:W3CDTF">2020-03-07T06:15:00Z</dcterms:modified>
</cp:coreProperties>
</file>